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27E" w:rsidRDefault="00C67F9F">
      <w:pPr>
        <w:pStyle w:val="1"/>
      </w:pPr>
      <w:r>
        <w:t>ЛИЦЕНЗИОННЫЙ ДОГОВОР №</w:t>
      </w:r>
    </w:p>
    <w:p w:rsidR="004F627E" w:rsidRDefault="004F627E">
      <w:pPr>
        <w:pStyle w:val="a6"/>
      </w:pPr>
    </w:p>
    <w:p w:rsidR="004F627E" w:rsidRDefault="00C67F9F">
      <w:pPr>
        <w:pStyle w:val="a6"/>
      </w:pPr>
      <w:r>
        <w:t xml:space="preserve"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</w:t>
      </w:r>
      <w:r w:rsidRPr="00FE7575">
        <w:t>ФГБОУ ВО ПГУТИ</w:t>
      </w:r>
      <w:r>
        <w:t>, именуемое   в   дальнейшем   "Лицензиат",   в   лице ______________________________</w:t>
      </w:r>
      <w:r w:rsidR="001B45DD">
        <w:t>____</w:t>
      </w:r>
      <w:r>
        <w:t>____________, действующего   на   основании ____________________ с   другой   стороны,   заключили настоящий договор о нижеследующем:</w:t>
      </w:r>
    </w:p>
    <w:p w:rsidR="004F627E" w:rsidRDefault="00C67F9F">
      <w:pPr>
        <w:pStyle w:val="a7"/>
        <w:numPr>
          <w:ilvl w:val="0"/>
          <w:numId w:val="2"/>
        </w:numPr>
      </w:pPr>
      <w:r>
        <w:t>Предмет договора.</w:t>
      </w:r>
    </w:p>
    <w:p w:rsidR="004F627E" w:rsidRDefault="00C67F9F">
      <w:pPr>
        <w:pStyle w:val="a6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(лицензию) в пределах, способами, и на условиях, предусмотренными настоящим договором.</w:t>
      </w:r>
    </w:p>
    <w:p w:rsidR="004F627E" w:rsidRDefault="00C67F9F">
      <w:pPr>
        <w:pStyle w:val="a6"/>
        <w:numPr>
          <w:ilvl w:val="1"/>
          <w:numId w:val="2"/>
        </w:numPr>
      </w:pPr>
      <w:r>
        <w:t xml:space="preserve">Лицензия передается лицензиату в виде электронного ключа (далее «регистрационный ключ»), только с наличием, которого ПО SunRav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Class</w:t>
      </w:r>
      <w:r>
        <w:t xml:space="preserve"> (далее "Продукт") возможно будет использовать. Лицензия считается переданной в момент передачи лицензиату регистрационного ключа.</w:t>
      </w:r>
    </w:p>
    <w:p w:rsidR="004F627E" w:rsidRDefault="00C67F9F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5A6502">
          <w:rPr>
            <w:rStyle w:val="a4"/>
            <w:lang w:val="en-US"/>
          </w:rPr>
          <w:t>https</w:t>
        </w:r>
        <w:r w:rsidR="005A6502" w:rsidRPr="0044093B">
          <w:rPr>
            <w:rStyle w:val="a4"/>
          </w:rPr>
          <w:t>://</w:t>
        </w:r>
        <w:r w:rsidR="005A6502">
          <w:rPr>
            <w:rStyle w:val="a4"/>
            <w:lang w:val="en-US"/>
          </w:rPr>
          <w:t>sunrav</w:t>
        </w:r>
        <w:r w:rsidR="005A6502" w:rsidRPr="0044093B">
          <w:rPr>
            <w:rStyle w:val="a4"/>
          </w:rPr>
          <w:t>.</w:t>
        </w:r>
        <w:r w:rsidR="005A6502">
          <w:rPr>
            <w:rStyle w:val="a4"/>
            <w:lang w:val="en-US"/>
          </w:rPr>
          <w:t>ru</w:t>
        </w:r>
        <w:r w:rsidR="005A6502" w:rsidRPr="0044093B">
          <w:rPr>
            <w:rStyle w:val="a4"/>
          </w:rPr>
          <w:t>/</w:t>
        </w:r>
      </w:hyperlink>
      <w:r>
        <w:rPr>
          <w:rStyle w:val="a8"/>
        </w:rPr>
        <w:t xml:space="preserve">. 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</w:t>
      </w:r>
      <w:r w:rsidR="00264B29">
        <w:rPr>
          <w:rStyle w:val="a8"/>
        </w:rPr>
        <w:t>4</w:t>
      </w:r>
      <w:r w:rsidR="00D73065">
        <w:rPr>
          <w:rStyle w:val="a8"/>
        </w:rPr>
        <w:t>9</w:t>
      </w:r>
      <w:r>
        <w:rPr>
          <w:rStyle w:val="a8"/>
        </w:rPr>
        <w:t xml:space="preserve"> </w:t>
      </w:r>
      <w:r w:rsidR="00D73065">
        <w:rPr>
          <w:rStyle w:val="a8"/>
        </w:rPr>
        <w:t>0</w:t>
      </w:r>
      <w:r>
        <w:rPr>
          <w:rStyle w:val="a8"/>
        </w:rPr>
        <w:t>00 (</w:t>
      </w:r>
      <w:r w:rsidR="00264B29">
        <w:rPr>
          <w:rStyle w:val="a8"/>
        </w:rPr>
        <w:t>Сорок</w:t>
      </w:r>
      <w:r>
        <w:rPr>
          <w:rStyle w:val="a8"/>
        </w:rPr>
        <w:t xml:space="preserve"> </w:t>
      </w:r>
      <w:r w:rsidR="00D73065">
        <w:rPr>
          <w:rStyle w:val="a8"/>
        </w:rPr>
        <w:t>девять</w:t>
      </w:r>
      <w:r>
        <w:rPr>
          <w:rStyle w:val="a8"/>
        </w:rPr>
        <w:t xml:space="preserve"> тысяч) рублей 00 копеек. </w:t>
      </w:r>
      <w:r>
        <w:t xml:space="preserve">НДС не облагается в связи с применением Лицензиаром </w:t>
      </w:r>
      <w:r w:rsidR="00D73065">
        <w:t>упрощённой</w:t>
      </w:r>
      <w:r>
        <w:t>̆ системы налогообложения</w:t>
      </w:r>
      <w:r>
        <w:rPr>
          <w:rStyle w:val="a8"/>
        </w:rPr>
        <w:t>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 xml:space="preserve">Лицензиат вправе устанавливать продукт на </w:t>
      </w:r>
      <w:r w:rsidR="00264B29">
        <w:rPr>
          <w:rStyle w:val="a8"/>
        </w:rPr>
        <w:t>10</w:t>
      </w:r>
      <w:r>
        <w:rPr>
          <w:rStyle w:val="a8"/>
        </w:rPr>
        <w:t xml:space="preserve"> (</w:t>
      </w:r>
      <w:r w:rsidR="00264B29">
        <w:rPr>
          <w:rStyle w:val="a8"/>
        </w:rPr>
        <w:t>десять</w:t>
      </w:r>
      <w:r>
        <w:rPr>
          <w:rStyle w:val="a8"/>
        </w:rPr>
        <w:t xml:space="preserve">) рабочих мест, 1 (один) ВЕБ сервер и использовать 1 (одну) базу данных. 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D73065" w:rsidRDefault="00D73065" w:rsidP="00D73065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Лицензиат вправе создавать неограниченное количество администраторов.</w:t>
      </w:r>
    </w:p>
    <w:p w:rsidR="00D73065" w:rsidRDefault="00D73065" w:rsidP="00D73065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Лицензиат вправе тестировать неограниченное количество людей, создавать неограниченное количество тестов и книг.</w:t>
      </w:r>
    </w:p>
    <w:p w:rsidR="00D73065" w:rsidRDefault="00D73065" w:rsidP="00D73065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 3.2.1 — 3.2.4.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4F627E" w:rsidRDefault="00C67F9F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D73065">
        <w:rPr>
          <w:rStyle w:val="a8"/>
        </w:rPr>
        <w:t xml:space="preserve">у </w:t>
      </w:r>
      <w:r>
        <w:rPr>
          <w:rStyle w:val="a8"/>
        </w:rPr>
        <w:t xml:space="preserve"> (499) 322-89-84.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4F627E" w:rsidRDefault="00331B8B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line">
                  <wp:posOffset>3012440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431A7B9" id="officeArt object" o:spid="_x0000_s1026" alt="officeArt object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" from="57.65pt,237.2pt" to="197.35pt,237.2pt" wrapcoords="0 0 21601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" strokeweight="1pt">
                <v:stroke miterlimit="4" joinstyle="miter"/>
                <w10:wrap type="through" anchorx="page" anchory="line"/>
              </v:line>
            </w:pict>
          </mc:Fallback>
        </mc:AlternateContent>
      </w:r>
      <w:r w:rsidR="00C67F9F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line">
                  <wp:posOffset>480059</wp:posOffset>
                </wp:positionV>
                <wp:extent cx="3175000" cy="39979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99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627E" w:rsidRDefault="00C67F9F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6" type="#_x0000_t202" style="visibility:visible;position:absolute;margin-left:301.1pt;margin-top:37.8pt;width:250.0pt;height:314.8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 w:rsidR="00C67F9F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619759</wp:posOffset>
                </wp:positionH>
                <wp:positionV relativeFrom="line">
                  <wp:posOffset>480059</wp:posOffset>
                </wp:positionV>
                <wp:extent cx="3175000" cy="39979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99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F627E" w:rsidRDefault="00C67F9F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4F627E" w:rsidRDefault="0044093B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 xml:space="preserve">СИБИРСКИЙ Ф-Л ПАО "Банк </w:t>
                            </w:r>
                            <w:r w:rsidRPr="00CC3000">
                              <w:rPr>
                                <w:rStyle w:val="a8"/>
                              </w:rPr>
                              <w:t>ПСБ"</w:t>
                            </w:r>
                            <w:r w:rsidR="00C67F9F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4F627E" w:rsidRDefault="004F627E">
                            <w:pPr>
                              <w:pStyle w:val="a6"/>
                            </w:pPr>
                          </w:p>
                          <w:p w:rsidR="004F627E" w:rsidRDefault="00C67F9F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48.8pt;margin-top:37.8pt;width:250pt;height:314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-4 -3 21596 -3 21596 21597 -4 21597 -4 -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" filled="f" stroked="f" strokeweight="1pt">
                <v:stroke miterlimit="4"/>
                <v:textbox inset="4pt,4pt,4pt,4pt">
                  <w:txbxContent>
                    <w:p w:rsidR="004F627E" w:rsidRDefault="00C67F9F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4F627E" w:rsidRDefault="0044093B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8"/>
                        </w:rPr>
                        <w:t>ПСБ"</w:t>
                      </w:r>
                      <w:r w:rsidR="00C67F9F">
                        <w:rPr>
                          <w:rStyle w:val="a8"/>
                        </w:rPr>
                        <w:t>, г. Новосибирск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4F627E" w:rsidRDefault="004F627E">
                      <w:pPr>
                        <w:pStyle w:val="a6"/>
                      </w:pPr>
                    </w:p>
                    <w:p w:rsidR="004F627E" w:rsidRDefault="00C67F9F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C67F9F">
        <w:rPr>
          <w:rStyle w:val="a8"/>
        </w:rPr>
        <w:t xml:space="preserve">Юридические адреса и реквизиты стороны </w:t>
      </w:r>
    </w:p>
    <w:sectPr w:rsidR="004F627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35F" w:rsidRDefault="00DF035F">
      <w:r>
        <w:separator/>
      </w:r>
    </w:p>
  </w:endnote>
  <w:endnote w:type="continuationSeparator" w:id="0">
    <w:p w:rsidR="00DF035F" w:rsidRDefault="00DF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27E" w:rsidRDefault="00C67F9F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64B29">
      <w:rPr>
        <w:noProof/>
      </w:rPr>
      <w:t>1</w:t>
    </w:r>
    <w:r>
      <w:fldChar w:fldCharType="end"/>
    </w:r>
    <w:r>
      <w:t xml:space="preserve"> из </w:t>
    </w:r>
    <w:fldSimple w:instr=" NUMPAGES ">
      <w:r w:rsidR="00264B2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35F" w:rsidRDefault="00DF035F">
      <w:r>
        <w:separator/>
      </w:r>
    </w:p>
  </w:footnote>
  <w:footnote w:type="continuationSeparator" w:id="0">
    <w:p w:rsidR="00DF035F" w:rsidRDefault="00DF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27E" w:rsidRDefault="00C67F9F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>«</w:t>
    </w:r>
    <w:r w:rsidR="00872617">
      <w:rPr>
        <w:rFonts w:ascii="Times New Roman" w:hAnsi="Times New Roman"/>
      </w:rPr>
      <w:t xml:space="preserve">  </w:t>
    </w:r>
    <w:proofErr w:type="gramEnd"/>
    <w:r w:rsidR="00872617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» </w:t>
    </w:r>
    <w:r w:rsidR="00872617">
      <w:rPr>
        <w:rFonts w:ascii="Times New Roman" w:hAnsi="Times New Roman"/>
      </w:rPr>
      <w:t xml:space="preserve"> __________________   </w:t>
    </w:r>
    <w:r>
      <w:rPr>
        <w:rFonts w:ascii="Times New Roman" w:hAnsi="Times New Roman"/>
      </w:rPr>
      <w:t>202</w:t>
    </w:r>
    <w:r w:rsidR="005A6502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E5A"/>
    <w:multiLevelType w:val="multilevel"/>
    <w:tmpl w:val="98765248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DC2926"/>
    <w:multiLevelType w:val="multilevel"/>
    <w:tmpl w:val="98765248"/>
    <w:numStyleLink w:val="a"/>
  </w:abstractNum>
  <w:num w:numId="1" w16cid:durableId="237985951">
    <w:abstractNumId w:val="0"/>
  </w:num>
  <w:num w:numId="2" w16cid:durableId="1870605605">
    <w:abstractNumId w:val="1"/>
  </w:num>
  <w:num w:numId="3" w16cid:durableId="954678267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81387490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27E"/>
    <w:rsid w:val="001B124F"/>
    <w:rsid w:val="001B45DD"/>
    <w:rsid w:val="001B6C97"/>
    <w:rsid w:val="00264B29"/>
    <w:rsid w:val="00303B99"/>
    <w:rsid w:val="00331B8B"/>
    <w:rsid w:val="003936CD"/>
    <w:rsid w:val="0044093B"/>
    <w:rsid w:val="004F627E"/>
    <w:rsid w:val="005A6502"/>
    <w:rsid w:val="00841587"/>
    <w:rsid w:val="00872617"/>
    <w:rsid w:val="008A639F"/>
    <w:rsid w:val="00AC76E0"/>
    <w:rsid w:val="00B70283"/>
    <w:rsid w:val="00BA2C24"/>
    <w:rsid w:val="00C67F9F"/>
    <w:rsid w:val="00CE756C"/>
    <w:rsid w:val="00D37EDD"/>
    <w:rsid w:val="00D73065"/>
    <w:rsid w:val="00D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C67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67F9F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C67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67F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 Sungatulin</cp:lastModifiedBy>
  <cp:revision>4</cp:revision>
  <cp:lastPrinted>2025-01-07T05:19:00Z</cp:lastPrinted>
  <dcterms:created xsi:type="dcterms:W3CDTF">2025-01-07T05:19:00Z</dcterms:created>
  <dcterms:modified xsi:type="dcterms:W3CDTF">2025-04-24T03:06:00Z</dcterms:modified>
</cp:coreProperties>
</file>